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DE887" w14:textId="6253A0C5" w:rsidR="00A6546A" w:rsidRPr="00A6546A" w:rsidRDefault="00A6546A" w:rsidP="00A6546A">
      <w:pPr>
        <w:ind w:left="1800" w:hanging="1800"/>
        <w:rPr>
          <w:b/>
          <w:sz w:val="24"/>
          <w:szCs w:val="24"/>
        </w:rPr>
      </w:pPr>
      <w:r w:rsidRPr="00A6546A">
        <w:rPr>
          <w:b/>
          <w:sz w:val="24"/>
          <w:szCs w:val="24"/>
        </w:rPr>
        <w:t>3GPP TSG RAN WG1 #98</w:t>
      </w:r>
      <w:r w:rsidRPr="00A6546A">
        <w:rPr>
          <w:b/>
          <w:sz w:val="24"/>
          <w:szCs w:val="24"/>
        </w:rPr>
        <w:tab/>
      </w:r>
      <w:r w:rsidRPr="00A6546A">
        <w:rPr>
          <w:b/>
          <w:sz w:val="24"/>
          <w:szCs w:val="24"/>
        </w:rPr>
        <w:tab/>
      </w:r>
      <w:r w:rsidRPr="00A6546A">
        <w:rPr>
          <w:b/>
          <w:sz w:val="24"/>
          <w:szCs w:val="24"/>
        </w:rPr>
        <w:tab/>
      </w:r>
      <w:r>
        <w:rPr>
          <w:b/>
          <w:sz w:val="24"/>
          <w:szCs w:val="24"/>
        </w:rPr>
        <w:t xml:space="preserve">                                                                  </w:t>
      </w:r>
      <w:r w:rsidRPr="00A6546A">
        <w:rPr>
          <w:b/>
          <w:sz w:val="24"/>
          <w:szCs w:val="24"/>
        </w:rPr>
        <w:t>R1-19</w:t>
      </w:r>
      <w:r>
        <w:rPr>
          <w:b/>
          <w:sz w:val="24"/>
          <w:szCs w:val="24"/>
        </w:rPr>
        <w:t>09067</w:t>
      </w:r>
    </w:p>
    <w:p w14:paraId="6406D6B0" w14:textId="77777777" w:rsidR="00A6546A" w:rsidRDefault="00A6546A" w:rsidP="00A6546A">
      <w:pPr>
        <w:ind w:left="1800" w:hanging="1800"/>
        <w:rPr>
          <w:b/>
          <w:sz w:val="24"/>
          <w:szCs w:val="24"/>
        </w:rPr>
      </w:pPr>
      <w:r w:rsidRPr="00A6546A">
        <w:rPr>
          <w:b/>
          <w:sz w:val="24"/>
          <w:szCs w:val="24"/>
        </w:rPr>
        <w:t>Prague, CZ, August 26th – 30th, 2019</w:t>
      </w:r>
    </w:p>
    <w:p w14:paraId="7CE5E9D2" w14:textId="30DB3180" w:rsidR="0060603E" w:rsidRPr="00212204" w:rsidRDefault="0060603E" w:rsidP="00A6546A">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1F02DD">
        <w:rPr>
          <w:b/>
          <w:sz w:val="24"/>
          <w:szCs w:val="24"/>
        </w:rPr>
        <w:t>2.3</w:t>
      </w:r>
      <w:r w:rsidR="00F75F2B">
        <w:rPr>
          <w:b/>
          <w:sz w:val="24"/>
          <w:szCs w:val="24"/>
        </w:rPr>
        <w:t>.1</w:t>
      </w:r>
    </w:p>
    <w:p w14:paraId="1B4813E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37304D13" w14:textId="77777777" w:rsidR="00F75F2B" w:rsidRDefault="0060603E" w:rsidP="004F31E9">
      <w:pPr>
        <w:ind w:left="1800" w:hanging="1800"/>
        <w:rPr>
          <w:b/>
          <w:sz w:val="24"/>
          <w:szCs w:val="24"/>
        </w:rPr>
      </w:pPr>
      <w:r w:rsidRPr="00212204">
        <w:rPr>
          <w:b/>
          <w:sz w:val="24"/>
          <w:szCs w:val="24"/>
        </w:rPr>
        <w:t>Title:</w:t>
      </w:r>
      <w:r w:rsidR="002D479B" w:rsidRPr="00212204">
        <w:rPr>
          <w:sz w:val="24"/>
          <w:szCs w:val="24"/>
        </w:rPr>
        <w:tab/>
      </w:r>
      <w:r w:rsidR="004F31E9" w:rsidRPr="00D37270">
        <w:rPr>
          <w:b/>
          <w:sz w:val="24"/>
          <w:szCs w:val="24"/>
        </w:rPr>
        <w:t>Enhancements to support inter-IAB node discovery and measurements</w:t>
      </w:r>
    </w:p>
    <w:p w14:paraId="5309A8AB"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34988F00" w14:textId="77777777" w:rsidR="00707D20" w:rsidRPr="00172743" w:rsidRDefault="00424124" w:rsidP="00326FF6">
      <w:pPr>
        <w:pStyle w:val="Heading1"/>
      </w:pPr>
      <w:r w:rsidRPr="00172743">
        <w:t>Introduction</w:t>
      </w:r>
    </w:p>
    <w:p w14:paraId="5BB2B589" w14:textId="77777777" w:rsidR="004F31E9" w:rsidRDefault="004F31E9" w:rsidP="004F31E9">
      <w:pPr>
        <w:rPr>
          <w:rFonts w:ascii="Calibri" w:eastAsia="Malgun Gothic" w:hAnsi="Calibri" w:cs="Batang"/>
          <w:lang w:val="en-GB" w:eastAsia="ko-KR"/>
        </w:rPr>
      </w:pPr>
      <w:r w:rsidRPr="004131D6">
        <w:rPr>
          <w:rFonts w:ascii="Calibri" w:eastAsia="Malgun Gothic" w:hAnsi="Calibri" w:cs="Batang"/>
          <w:lang w:val="en-GB" w:eastAsia="ko-KR"/>
        </w:rPr>
        <w:t>As part of the Work Item on Integrated Access and Backhaul for NR [1], 3GPP has agreed to support solutions for efficient operation of integrated access and wireless backhaul for NR including the following requirements:</w:t>
      </w:r>
    </w:p>
    <w:p w14:paraId="71EB2DFF" w14:textId="77777777" w:rsidR="004F31E9" w:rsidRDefault="004F31E9" w:rsidP="004F31E9">
      <w:pPr>
        <w:pStyle w:val="ListParagraph"/>
        <w:numPr>
          <w:ilvl w:val="0"/>
          <w:numId w:val="19"/>
        </w:numPr>
        <w:spacing w:beforeLines="60" w:before="144" w:afterLines="60" w:after="144" w:line="256" w:lineRule="auto"/>
        <w:contextualSpacing w:val="0"/>
        <w:jc w:val="left"/>
        <w:rPr>
          <w:rFonts w:asciiTheme="minorHAnsi" w:hAnsiTheme="minorHAnsi"/>
        </w:rPr>
      </w:pPr>
      <w: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665078AF" w14:textId="77777777" w:rsidR="004F31E9" w:rsidRPr="00C724F1" w:rsidRDefault="004F31E9" w:rsidP="004F31E9">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the design considerations for the use of SSBs for inter-IAB node discovery and measurements</w:t>
      </w:r>
      <w:r w:rsidRPr="00C724F1">
        <w:rPr>
          <w:rFonts w:ascii="Calibri" w:hAnsi="Calibri"/>
        </w:rPr>
        <w:t>.</w:t>
      </w:r>
    </w:p>
    <w:p w14:paraId="3832C4E4" w14:textId="77777777" w:rsidR="004F31E9" w:rsidRPr="00172743" w:rsidRDefault="004F31E9" w:rsidP="004F31E9">
      <w:pPr>
        <w:pStyle w:val="Heading1"/>
      </w:pPr>
      <w:r>
        <w:t>IAB node discovery and measurement</w:t>
      </w:r>
    </w:p>
    <w:p w14:paraId="0EB82736" w14:textId="18713BC5" w:rsidR="003F1857" w:rsidRPr="003F1857" w:rsidRDefault="003F1857" w:rsidP="003F1857">
      <w:pPr>
        <w:keepLines/>
        <w:overflowPunct w:val="0"/>
        <w:autoSpaceDE w:val="0"/>
        <w:autoSpaceDN w:val="0"/>
        <w:adjustRightInd w:val="0"/>
        <w:spacing w:before="0" w:after="180"/>
        <w:jc w:val="left"/>
        <w:textAlignment w:val="baseline"/>
        <w:rPr>
          <w:rFonts w:ascii="Calibri" w:eastAsia="Malgun Gothic" w:hAnsi="Calibri" w:cs="Batang"/>
          <w:lang w:val="en-GB" w:eastAsia="ko-KR"/>
        </w:rPr>
      </w:pPr>
      <w:r w:rsidRPr="003F1857">
        <w:rPr>
          <w:rFonts w:ascii="Calibri" w:eastAsia="Malgun Gothic" w:hAnsi="Calibri" w:cs="Batang"/>
          <w:lang w:val="en-GB" w:eastAsia="ko-KR"/>
        </w:rPr>
        <w:t>During RAN1</w:t>
      </w:r>
      <w:r w:rsidR="004F31E9">
        <w:rPr>
          <w:rFonts w:ascii="Calibri" w:eastAsia="Malgun Gothic" w:hAnsi="Calibri" w:cs="Batang"/>
          <w:lang w:val="en-GB" w:eastAsia="ko-KR"/>
        </w:rPr>
        <w:t>#9</w:t>
      </w:r>
      <w:r w:rsidR="00A6546A">
        <w:rPr>
          <w:rFonts w:ascii="Calibri" w:eastAsia="Malgun Gothic" w:hAnsi="Calibri" w:cs="Batang"/>
          <w:lang w:val="en-GB" w:eastAsia="ko-KR"/>
        </w:rPr>
        <w:t>7</w:t>
      </w:r>
      <w:r w:rsidR="004F31E9">
        <w:rPr>
          <w:rFonts w:ascii="Calibri" w:eastAsia="Malgun Gothic" w:hAnsi="Calibri" w:cs="Batang"/>
          <w:lang w:val="en-GB" w:eastAsia="ko-KR"/>
        </w:rPr>
        <w:t xml:space="preserve"> </w:t>
      </w:r>
      <w:r w:rsidRPr="003F1857">
        <w:rPr>
          <w:rFonts w:ascii="Calibri" w:eastAsia="Malgun Gothic" w:hAnsi="Calibri" w:cs="Batang"/>
          <w:lang w:val="en-GB" w:eastAsia="ko-KR"/>
        </w:rPr>
        <w:t>the following agreements were made</w:t>
      </w:r>
      <w:r>
        <w:rPr>
          <w:rFonts w:ascii="Calibri" w:eastAsia="Malgun Gothic" w:hAnsi="Calibri" w:cs="Batang"/>
          <w:lang w:val="en-GB" w:eastAsia="ko-KR"/>
        </w:rPr>
        <w:t>:</w:t>
      </w:r>
    </w:p>
    <w:p w14:paraId="09FA8064" w14:textId="77777777" w:rsidR="00A6546A" w:rsidRDefault="00A6546A" w:rsidP="00A6546A">
      <w:r w:rsidRPr="00B93152">
        <w:rPr>
          <w:highlight w:val="green"/>
        </w:rPr>
        <w:t>Agreements</w:t>
      </w:r>
      <w:r>
        <w:t>:</w:t>
      </w:r>
    </w:p>
    <w:p w14:paraId="6A1C3AE4" w14:textId="77777777" w:rsidR="00A6546A" w:rsidRPr="0052332D" w:rsidRDefault="00A6546A" w:rsidP="00A6546A">
      <w:pPr>
        <w:rPr>
          <w:lang w:eastAsia="zh-CN"/>
        </w:rPr>
      </w:pPr>
      <w:r w:rsidRPr="0052332D">
        <w:rPr>
          <w:rFonts w:hint="eastAsia"/>
          <w:lang w:eastAsia="zh-CN"/>
        </w:rPr>
        <w:t>T</w:t>
      </w:r>
      <w:r w:rsidRPr="0052332D">
        <w:rPr>
          <w:lang w:eastAsia="zh-CN"/>
        </w:rPr>
        <w:t xml:space="preserve">he configurable </w:t>
      </w:r>
      <w:r w:rsidRPr="0052332D">
        <w:rPr>
          <w:rFonts w:hint="eastAsia"/>
          <w:lang w:eastAsia="zh-CN"/>
        </w:rPr>
        <w:t>values</w:t>
      </w:r>
      <w:r w:rsidRPr="0052332D">
        <w:rPr>
          <w:lang w:eastAsia="zh-CN"/>
        </w:rPr>
        <w:t xml:space="preserve"> of the parameters in the SSB reception configurations including SMTC for IAB node discovery and measurement are provided in the following</w:t>
      </w:r>
    </w:p>
    <w:p w14:paraId="580C305E" w14:textId="77777777" w:rsidR="00A6546A" w:rsidRPr="0052332D" w:rsidRDefault="00A6546A" w:rsidP="00A6546A">
      <w:pPr>
        <w:pStyle w:val="ListParagraph"/>
        <w:numPr>
          <w:ilvl w:val="0"/>
          <w:numId w:val="29"/>
        </w:numPr>
        <w:autoSpaceDE w:val="0"/>
        <w:autoSpaceDN w:val="0"/>
        <w:adjustRightInd w:val="0"/>
        <w:snapToGrid w:val="0"/>
        <w:spacing w:before="0"/>
        <w:contextualSpacing w:val="0"/>
        <w:rPr>
          <w:lang w:eastAsia="zh-CN"/>
        </w:rPr>
      </w:pPr>
      <w:r w:rsidRPr="0052332D">
        <w:rPr>
          <w:lang w:eastAsia="zh-CN"/>
        </w:rPr>
        <w:t xml:space="preserve">SMTC window periodicity: </w:t>
      </w:r>
    </w:p>
    <w:p w14:paraId="66A8636F" w14:textId="77777777" w:rsidR="00A6546A" w:rsidRPr="0052332D" w:rsidRDefault="00A6546A" w:rsidP="00A6546A">
      <w:pPr>
        <w:pStyle w:val="ListParagraph"/>
        <w:numPr>
          <w:ilvl w:val="1"/>
          <w:numId w:val="29"/>
        </w:numPr>
        <w:autoSpaceDE w:val="0"/>
        <w:autoSpaceDN w:val="0"/>
        <w:adjustRightInd w:val="0"/>
        <w:snapToGrid w:val="0"/>
        <w:spacing w:before="0"/>
        <w:contextualSpacing w:val="0"/>
        <w:rPr>
          <w:lang w:eastAsia="zh-CN"/>
        </w:rPr>
      </w:pPr>
      <w:r w:rsidRPr="0052332D">
        <w:rPr>
          <w:lang w:eastAsia="zh-CN"/>
        </w:rPr>
        <w:t>5ms, 10ms, 20ms, 40ms, 80ms, 160ms, 320ms, 640ms, 1280ms</w:t>
      </w:r>
    </w:p>
    <w:p w14:paraId="64FB78A2" w14:textId="77777777" w:rsidR="00A6546A" w:rsidRPr="0052332D" w:rsidRDefault="00A6546A" w:rsidP="00A6546A">
      <w:pPr>
        <w:pStyle w:val="ListParagraph"/>
        <w:numPr>
          <w:ilvl w:val="0"/>
          <w:numId w:val="29"/>
        </w:numPr>
        <w:autoSpaceDE w:val="0"/>
        <w:autoSpaceDN w:val="0"/>
        <w:adjustRightInd w:val="0"/>
        <w:snapToGrid w:val="0"/>
        <w:spacing w:before="0"/>
        <w:contextualSpacing w:val="0"/>
        <w:rPr>
          <w:lang w:eastAsia="zh-CN"/>
        </w:rPr>
      </w:pPr>
      <w:r w:rsidRPr="0052332D">
        <w:rPr>
          <w:lang w:eastAsia="zh-CN"/>
        </w:rPr>
        <w:t xml:space="preserve">SMTC window timing offset: </w:t>
      </w:r>
    </w:p>
    <w:p w14:paraId="1E4FBA7E" w14:textId="77777777" w:rsidR="00A6546A" w:rsidRPr="0052332D" w:rsidRDefault="00A6546A" w:rsidP="00A6546A">
      <w:pPr>
        <w:pStyle w:val="ListParagraph"/>
        <w:numPr>
          <w:ilvl w:val="1"/>
          <w:numId w:val="29"/>
        </w:numPr>
        <w:autoSpaceDE w:val="0"/>
        <w:autoSpaceDN w:val="0"/>
        <w:adjustRightInd w:val="0"/>
        <w:snapToGrid w:val="0"/>
        <w:spacing w:before="0"/>
        <w:contextualSpacing w:val="0"/>
        <w:rPr>
          <w:lang w:eastAsia="zh-CN"/>
        </w:rPr>
      </w:pPr>
      <w:r w:rsidRPr="0052332D">
        <w:rPr>
          <w:lang w:eastAsia="zh-CN"/>
        </w:rPr>
        <w:t>[0, ..., (number of subframes within SMTC window periodicity) – 1]</w:t>
      </w:r>
    </w:p>
    <w:p w14:paraId="73B22CDE" w14:textId="77777777" w:rsidR="00A6546A" w:rsidRPr="0052332D" w:rsidRDefault="00A6546A" w:rsidP="00A6546A">
      <w:pPr>
        <w:pStyle w:val="ListParagraph"/>
        <w:numPr>
          <w:ilvl w:val="0"/>
          <w:numId w:val="29"/>
        </w:numPr>
        <w:autoSpaceDE w:val="0"/>
        <w:autoSpaceDN w:val="0"/>
        <w:adjustRightInd w:val="0"/>
        <w:snapToGrid w:val="0"/>
        <w:spacing w:before="0"/>
        <w:contextualSpacing w:val="0"/>
        <w:rPr>
          <w:lang w:eastAsia="zh-CN"/>
        </w:rPr>
      </w:pPr>
      <w:r w:rsidRPr="0052332D">
        <w:rPr>
          <w:lang w:eastAsia="zh-CN"/>
        </w:rPr>
        <w:t xml:space="preserve">SMTC window duration: </w:t>
      </w:r>
    </w:p>
    <w:p w14:paraId="15702A3A" w14:textId="77777777" w:rsidR="00A6546A" w:rsidRPr="0052332D" w:rsidRDefault="00A6546A" w:rsidP="00A6546A">
      <w:pPr>
        <w:pStyle w:val="ListParagraph"/>
        <w:numPr>
          <w:ilvl w:val="1"/>
          <w:numId w:val="29"/>
        </w:numPr>
        <w:autoSpaceDE w:val="0"/>
        <w:autoSpaceDN w:val="0"/>
        <w:adjustRightInd w:val="0"/>
        <w:snapToGrid w:val="0"/>
        <w:spacing w:before="0"/>
        <w:contextualSpacing w:val="0"/>
        <w:rPr>
          <w:lang w:eastAsia="zh-CN"/>
        </w:rPr>
      </w:pPr>
      <w:r w:rsidRPr="0052332D">
        <w:rPr>
          <w:lang w:eastAsia="zh-CN"/>
        </w:rPr>
        <w:t>[1, …, 5] (subframes)</w:t>
      </w:r>
    </w:p>
    <w:p w14:paraId="0B10A401" w14:textId="77777777" w:rsidR="00A6546A" w:rsidRPr="0052332D" w:rsidRDefault="00A6546A" w:rsidP="00A6546A">
      <w:pPr>
        <w:pStyle w:val="ListParagraph"/>
        <w:numPr>
          <w:ilvl w:val="2"/>
          <w:numId w:val="29"/>
        </w:numPr>
        <w:autoSpaceDE w:val="0"/>
        <w:autoSpaceDN w:val="0"/>
        <w:adjustRightInd w:val="0"/>
        <w:snapToGrid w:val="0"/>
        <w:spacing w:before="0"/>
        <w:contextualSpacing w:val="0"/>
        <w:rPr>
          <w:lang w:eastAsia="zh-CN"/>
        </w:rPr>
      </w:pPr>
      <w:r w:rsidRPr="0052332D">
        <w:rPr>
          <w:lang w:eastAsia="zh-CN"/>
        </w:rPr>
        <w:t>FFS larger than 5</w:t>
      </w:r>
    </w:p>
    <w:p w14:paraId="18705EEE" w14:textId="77777777" w:rsidR="00A6546A" w:rsidRPr="0052332D" w:rsidRDefault="00A6546A" w:rsidP="00A6546A">
      <w:pPr>
        <w:pStyle w:val="ListParagraph"/>
        <w:numPr>
          <w:ilvl w:val="0"/>
          <w:numId w:val="29"/>
        </w:numPr>
        <w:autoSpaceDE w:val="0"/>
        <w:autoSpaceDN w:val="0"/>
        <w:adjustRightInd w:val="0"/>
        <w:snapToGrid w:val="0"/>
        <w:spacing w:before="0"/>
        <w:contextualSpacing w:val="0"/>
        <w:rPr>
          <w:lang w:eastAsia="zh-CN"/>
        </w:rPr>
      </w:pPr>
      <w:r w:rsidRPr="0052332D">
        <w:rPr>
          <w:lang w:eastAsia="zh-CN"/>
        </w:rPr>
        <w:t>List of physical cell IDs to be measured</w:t>
      </w:r>
    </w:p>
    <w:p w14:paraId="29F69C84" w14:textId="77777777" w:rsidR="00A6546A" w:rsidRPr="0052332D" w:rsidRDefault="00A6546A" w:rsidP="00A6546A">
      <w:pPr>
        <w:pStyle w:val="ListParagraph"/>
        <w:numPr>
          <w:ilvl w:val="1"/>
          <w:numId w:val="29"/>
        </w:numPr>
        <w:autoSpaceDE w:val="0"/>
        <w:autoSpaceDN w:val="0"/>
        <w:adjustRightInd w:val="0"/>
        <w:snapToGrid w:val="0"/>
        <w:spacing w:before="0"/>
        <w:contextualSpacing w:val="0"/>
        <w:rPr>
          <w:lang w:eastAsia="zh-CN"/>
        </w:rPr>
      </w:pPr>
      <w:r w:rsidRPr="0052332D">
        <w:rPr>
          <w:lang w:eastAsia="zh-CN"/>
        </w:rPr>
        <w:t xml:space="preserve">[cell </w:t>
      </w:r>
      <w:r w:rsidRPr="0052332D">
        <w:rPr>
          <w:rFonts w:hint="eastAsia"/>
          <w:lang w:eastAsia="zh-CN"/>
        </w:rPr>
        <w:t>ID</w:t>
      </w:r>
      <w:r w:rsidRPr="0052332D">
        <w:rPr>
          <w:lang w:eastAsia="zh-CN"/>
        </w:rPr>
        <w:t xml:space="preserve"> 0, …, cell </w:t>
      </w:r>
      <w:r w:rsidRPr="0052332D">
        <w:rPr>
          <w:rFonts w:hint="eastAsia"/>
          <w:lang w:eastAsia="zh-CN"/>
        </w:rPr>
        <w:t>ID</w:t>
      </w:r>
      <w:r w:rsidRPr="0052332D">
        <w:rPr>
          <w:lang w:eastAsia="zh-CN"/>
        </w:rPr>
        <w:t xml:space="preserve"> M-</w:t>
      </w:r>
      <w:proofErr w:type="gramStart"/>
      <w:r w:rsidRPr="0052332D">
        <w:rPr>
          <w:lang w:eastAsia="zh-CN"/>
        </w:rPr>
        <w:t>1</w:t>
      </w:r>
      <w:r w:rsidRPr="0052332D">
        <w:rPr>
          <w:rFonts w:hint="eastAsia"/>
          <w:lang w:eastAsia="zh-CN"/>
        </w:rPr>
        <w:t xml:space="preserve"> </w:t>
      </w:r>
      <w:r w:rsidRPr="0052332D">
        <w:rPr>
          <w:lang w:eastAsia="zh-CN"/>
        </w:rPr>
        <w:t>]</w:t>
      </w:r>
      <w:proofErr w:type="gramEnd"/>
    </w:p>
    <w:p w14:paraId="74DF3570" w14:textId="77777777" w:rsidR="00A6546A" w:rsidRPr="0052332D" w:rsidRDefault="00A6546A" w:rsidP="00A6546A">
      <w:pPr>
        <w:pStyle w:val="ListParagraph"/>
        <w:numPr>
          <w:ilvl w:val="2"/>
          <w:numId w:val="29"/>
        </w:numPr>
        <w:autoSpaceDE w:val="0"/>
        <w:autoSpaceDN w:val="0"/>
        <w:adjustRightInd w:val="0"/>
        <w:snapToGrid w:val="0"/>
        <w:spacing w:before="0"/>
        <w:contextualSpacing w:val="0"/>
        <w:rPr>
          <w:lang w:eastAsia="zh-CN"/>
        </w:rPr>
      </w:pPr>
      <w:r w:rsidRPr="0052332D">
        <w:rPr>
          <w:lang w:eastAsia="zh-CN"/>
        </w:rPr>
        <w:t>FFS value of M</w:t>
      </w:r>
    </w:p>
    <w:p w14:paraId="32120073" w14:textId="77777777" w:rsidR="00A6546A" w:rsidRPr="0052332D" w:rsidRDefault="00A6546A" w:rsidP="00A6546A">
      <w:pPr>
        <w:pStyle w:val="ListParagraph"/>
        <w:numPr>
          <w:ilvl w:val="0"/>
          <w:numId w:val="29"/>
        </w:numPr>
        <w:autoSpaceDE w:val="0"/>
        <w:autoSpaceDN w:val="0"/>
        <w:adjustRightInd w:val="0"/>
        <w:snapToGrid w:val="0"/>
        <w:spacing w:before="0"/>
        <w:contextualSpacing w:val="0"/>
        <w:rPr>
          <w:lang w:eastAsia="zh-CN"/>
        </w:rPr>
      </w:pPr>
      <w:r w:rsidRPr="0052332D">
        <w:rPr>
          <w:lang w:eastAsia="zh-CN"/>
        </w:rPr>
        <w:t>SSB-</w:t>
      </w:r>
      <w:proofErr w:type="spellStart"/>
      <w:r w:rsidRPr="0052332D">
        <w:rPr>
          <w:lang w:eastAsia="zh-CN"/>
        </w:rPr>
        <w:t>ToMeasure</w:t>
      </w:r>
      <w:proofErr w:type="spellEnd"/>
    </w:p>
    <w:p w14:paraId="77A811DE" w14:textId="77777777" w:rsidR="00A6546A" w:rsidRPr="0052332D" w:rsidRDefault="00A6546A" w:rsidP="00A6546A">
      <w:pPr>
        <w:pStyle w:val="ListParagraph"/>
        <w:numPr>
          <w:ilvl w:val="1"/>
          <w:numId w:val="29"/>
        </w:numPr>
        <w:autoSpaceDE w:val="0"/>
        <w:autoSpaceDN w:val="0"/>
        <w:adjustRightInd w:val="0"/>
        <w:snapToGrid w:val="0"/>
        <w:spacing w:before="0"/>
        <w:contextualSpacing w:val="0"/>
        <w:rPr>
          <w:lang w:eastAsia="zh-CN"/>
        </w:rPr>
      </w:pPr>
      <w:r w:rsidRPr="0052332D">
        <w:rPr>
          <w:lang w:eastAsia="zh-CN"/>
        </w:rPr>
        <w:t>Same as Rel-15</w:t>
      </w:r>
    </w:p>
    <w:p w14:paraId="2E136CDA" w14:textId="77777777" w:rsidR="00E6484F" w:rsidRDefault="00E6484F" w:rsidP="00E6484F">
      <w:pPr>
        <w:pStyle w:val="maintext"/>
        <w:ind w:firstLineChars="0" w:firstLine="0"/>
        <w:rPr>
          <w:rFonts w:ascii="Calibri" w:hAnsi="Calibri"/>
        </w:rPr>
      </w:pPr>
    </w:p>
    <w:p w14:paraId="3A43B50C" w14:textId="61CF305B" w:rsidR="00E6484F" w:rsidRPr="004277F4" w:rsidRDefault="00E6484F" w:rsidP="00E6484F">
      <w:pPr>
        <w:pStyle w:val="maintext"/>
        <w:ind w:firstLineChars="0" w:firstLine="0"/>
        <w:rPr>
          <w:lang w:eastAsia="zh-CN"/>
        </w:rPr>
      </w:pPr>
      <w:r w:rsidRPr="00BA6FDB">
        <w:rPr>
          <w:rFonts w:ascii="Calibri" w:hAnsi="Calibri"/>
        </w:rPr>
        <w:t xml:space="preserve">Figure </w:t>
      </w:r>
      <w:r w:rsidR="00A6546A">
        <w:rPr>
          <w:rFonts w:ascii="Calibri" w:hAnsi="Calibri"/>
        </w:rPr>
        <w:t>1</w:t>
      </w:r>
      <w:r w:rsidRPr="00BA6FDB">
        <w:rPr>
          <w:rFonts w:ascii="Calibri" w:hAnsi="Calibri"/>
        </w:rPr>
        <w:t xml:space="preserve"> </w:t>
      </w:r>
      <w:r>
        <w:rPr>
          <w:rFonts w:ascii="Calibri" w:hAnsi="Calibri"/>
        </w:rPr>
        <w:t>provides</w:t>
      </w:r>
      <w:r w:rsidRPr="00BA6FDB">
        <w:rPr>
          <w:rFonts w:ascii="Calibri" w:hAnsi="Calibri"/>
        </w:rPr>
        <w:t xml:space="preserve"> an example of</w:t>
      </w:r>
      <w:r>
        <w:rPr>
          <w:rFonts w:ascii="Calibri" w:hAnsi="Calibri"/>
        </w:rPr>
        <w:t xml:space="preserve"> two STMCs</w:t>
      </w:r>
      <w:r w:rsidRPr="00BA6FDB">
        <w:rPr>
          <w:rFonts w:ascii="Calibri" w:hAnsi="Calibri"/>
        </w:rPr>
        <w:t xml:space="preserve"> </w:t>
      </w:r>
      <w:r>
        <w:rPr>
          <w:rFonts w:ascii="Calibri" w:hAnsi="Calibri"/>
        </w:rPr>
        <w:t>with the same time-domain offsets, but different periodicities.</w:t>
      </w:r>
    </w:p>
    <w:p w14:paraId="52855CA2" w14:textId="77777777" w:rsidR="007F2957" w:rsidRDefault="00E6484F" w:rsidP="00E6484F">
      <w:pPr>
        <w:pStyle w:val="maintext"/>
        <w:ind w:firstLineChars="0" w:firstLine="0"/>
        <w:jc w:val="center"/>
        <w:rPr>
          <w:rFonts w:ascii="Calibri" w:hAnsi="Calibri"/>
        </w:rPr>
      </w:pPr>
      <w:r>
        <w:rPr>
          <w:rFonts w:ascii="Calibri" w:hAnsi="Calibri"/>
          <w:noProof/>
        </w:rPr>
        <w:lastRenderedPageBreak/>
        <w:drawing>
          <wp:inline distT="0" distB="0" distL="0" distR="0" wp14:anchorId="06F2B13A" wp14:editId="2785BF1C">
            <wp:extent cx="5547995" cy="15728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7995" cy="1572895"/>
                    </a:xfrm>
                    <a:prstGeom prst="rect">
                      <a:avLst/>
                    </a:prstGeom>
                    <a:noFill/>
                  </pic:spPr>
                </pic:pic>
              </a:graphicData>
            </a:graphic>
          </wp:inline>
        </w:drawing>
      </w:r>
    </w:p>
    <w:p w14:paraId="613F936F" w14:textId="78D0D17E" w:rsidR="00E6484F" w:rsidRPr="00AA5160" w:rsidRDefault="00E6484F" w:rsidP="00E6484F">
      <w:pPr>
        <w:overflowPunct w:val="0"/>
        <w:autoSpaceDE w:val="0"/>
        <w:autoSpaceDN w:val="0"/>
        <w:adjustRightInd w:val="0"/>
        <w:spacing w:after="240" w:line="360" w:lineRule="auto"/>
        <w:jc w:val="center"/>
        <w:textAlignment w:val="baseline"/>
        <w:rPr>
          <w:rFonts w:ascii="Calibri" w:hAnsi="Calibri"/>
          <w:b/>
          <w:bCs/>
          <w:sz w:val="22"/>
          <w:lang w:val="en-GB" w:eastAsia="zh-CN"/>
        </w:rPr>
      </w:pPr>
      <w:r w:rsidRPr="006C49B6">
        <w:rPr>
          <w:rFonts w:ascii="Calibri" w:hAnsi="Calibri"/>
          <w:b/>
          <w:bCs/>
          <w:sz w:val="22"/>
          <w:lang w:val="en-GB" w:eastAsia="zh-CN"/>
        </w:rPr>
        <w:t xml:space="preserve">Figure </w:t>
      </w:r>
      <w:r w:rsidR="00A6546A">
        <w:rPr>
          <w:rFonts w:ascii="Calibri" w:hAnsi="Calibri"/>
          <w:b/>
          <w:bCs/>
          <w:sz w:val="22"/>
          <w:lang w:val="en-GB" w:eastAsia="zh-CN"/>
        </w:rPr>
        <w:t>1</w:t>
      </w:r>
      <w:r w:rsidRPr="006C49B6">
        <w:rPr>
          <w:rFonts w:ascii="Calibri" w:hAnsi="Calibri"/>
          <w:b/>
          <w:bCs/>
          <w:sz w:val="22"/>
          <w:lang w:val="en-GB" w:eastAsia="zh-CN"/>
        </w:rPr>
        <w:t xml:space="preserve">: </w:t>
      </w:r>
      <w:r>
        <w:rPr>
          <w:rFonts w:ascii="Calibri" w:hAnsi="Calibri"/>
          <w:b/>
          <w:bCs/>
          <w:sz w:val="22"/>
          <w:lang w:val="en-GB" w:eastAsia="zh-CN"/>
        </w:rPr>
        <w:t xml:space="preserve">SMTCs with different periodicities but </w:t>
      </w:r>
      <w:r w:rsidR="0036330B">
        <w:rPr>
          <w:rFonts w:ascii="Calibri" w:hAnsi="Calibri"/>
          <w:b/>
          <w:bCs/>
          <w:sz w:val="22"/>
          <w:lang w:val="en-GB" w:eastAsia="zh-CN"/>
        </w:rPr>
        <w:t xml:space="preserve">the </w:t>
      </w:r>
      <w:r>
        <w:rPr>
          <w:rFonts w:ascii="Calibri" w:hAnsi="Calibri"/>
          <w:b/>
          <w:bCs/>
          <w:sz w:val="22"/>
          <w:lang w:val="en-GB" w:eastAsia="zh-CN"/>
        </w:rPr>
        <w:t>same time-domain offsets</w:t>
      </w:r>
    </w:p>
    <w:p w14:paraId="5F07E855" w14:textId="77777777" w:rsidR="00E6484F" w:rsidRDefault="00E6484F" w:rsidP="00E6484F">
      <w:pPr>
        <w:pStyle w:val="maintext"/>
        <w:ind w:firstLineChars="0" w:firstLine="0"/>
        <w:jc w:val="left"/>
        <w:rPr>
          <w:rFonts w:ascii="Calibri" w:hAnsi="Calibri"/>
        </w:rPr>
      </w:pPr>
      <w:r>
        <w:rPr>
          <w:rFonts w:ascii="Calibri" w:hAnsi="Calibri"/>
        </w:rPr>
        <w:t xml:space="preserve">Depending on the IAB topology and desired </w:t>
      </w:r>
      <w:r w:rsidR="0036330B">
        <w:rPr>
          <w:rFonts w:ascii="Calibri" w:hAnsi="Calibri"/>
        </w:rPr>
        <w:t>trade-off</w:t>
      </w:r>
      <w:r>
        <w:rPr>
          <w:rFonts w:ascii="Calibri" w:hAnsi="Calibri"/>
        </w:rPr>
        <w:t xml:space="preserve"> between SSB transmission/measurement overhead and latency of link quality measurements, it may be beneficial that some of the up to 4 SMTCs configured for IAB node discovery and measurements overlap in time, but have different periodicities (e.g. corresponding to inter vs. intra-hop order monitoring occasions). In this case there may be a conflict at the MT of which SSBs can be measured corresponding to the different SMTCs. However</w:t>
      </w:r>
      <w:r w:rsidR="0036330B">
        <w:rPr>
          <w:rFonts w:ascii="Calibri" w:hAnsi="Calibri"/>
        </w:rPr>
        <w:t>,</w:t>
      </w:r>
      <w:r>
        <w:rPr>
          <w:rFonts w:ascii="Calibri" w:hAnsi="Calibri"/>
        </w:rPr>
        <w:t xml:space="preserve"> in this case priority should be given to the SSBs of the SMTC with the longer periodicity since those measurement occasions occur less frequently and the SSBs of the SMTC with a shorter periodicity will have measurement occasions without such conflicts.</w:t>
      </w:r>
    </w:p>
    <w:p w14:paraId="4D68EB01" w14:textId="268ADD47" w:rsidR="007F2957" w:rsidRDefault="007F2957" w:rsidP="007F2957">
      <w:pPr>
        <w:pStyle w:val="maintext"/>
        <w:ind w:firstLineChars="0" w:firstLine="0"/>
        <w:rPr>
          <w:rFonts w:ascii="Calibri" w:hAnsi="Calibri"/>
          <w:b/>
        </w:rPr>
      </w:pPr>
      <w:r>
        <w:rPr>
          <w:rFonts w:ascii="Calibri" w:hAnsi="Calibri"/>
          <w:b/>
        </w:rPr>
        <w:t xml:space="preserve">Proposal </w:t>
      </w:r>
      <w:r w:rsidR="00A6546A">
        <w:rPr>
          <w:rFonts w:ascii="Calibri" w:hAnsi="Calibri"/>
          <w:b/>
        </w:rPr>
        <w:t>1</w:t>
      </w:r>
      <w:r>
        <w:rPr>
          <w:rFonts w:ascii="Calibri" w:hAnsi="Calibri"/>
          <w:b/>
        </w:rPr>
        <w:t xml:space="preserve">: </w:t>
      </w:r>
      <w:r w:rsidR="00E6484F">
        <w:rPr>
          <w:rFonts w:ascii="Calibri" w:hAnsi="Calibri"/>
          <w:b/>
        </w:rPr>
        <w:t>In case of SMTCs with overlapping time domain measurement occasions but different periodicities, priority for IAB discovery and measurement at the MT should be given to SSBs corresponding to the SMTC with the longer periodicity</w:t>
      </w:r>
      <w:r>
        <w:rPr>
          <w:rFonts w:ascii="Calibri" w:hAnsi="Calibri"/>
          <w:b/>
        </w:rPr>
        <w:t>.</w:t>
      </w:r>
    </w:p>
    <w:p w14:paraId="4D0C754E" w14:textId="77777777" w:rsidR="007338D6" w:rsidRPr="00172743" w:rsidRDefault="003A566A" w:rsidP="00326FF6">
      <w:pPr>
        <w:pStyle w:val="Heading1"/>
      </w:pPr>
      <w:r w:rsidRPr="00172743">
        <w:t>Conclusion</w:t>
      </w:r>
    </w:p>
    <w:p w14:paraId="71FD1969" w14:textId="6AEE7A07"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A6546A">
        <w:rPr>
          <w:rFonts w:ascii="Calibri" w:hAnsi="Calibri"/>
        </w:rPr>
        <w:t xml:space="preserve">the remaining details for </w:t>
      </w:r>
      <w:r w:rsidR="00C724F1">
        <w:rPr>
          <w:rFonts w:ascii="Calibri" w:hAnsi="Calibri"/>
        </w:rPr>
        <w:t>IAB</w:t>
      </w:r>
      <w:r w:rsidR="006A7727">
        <w:rPr>
          <w:rFonts w:ascii="Calibri" w:hAnsi="Calibri"/>
        </w:rPr>
        <w:t xml:space="preserve"> </w:t>
      </w:r>
      <w:r w:rsidR="007F2957">
        <w:rPr>
          <w:rFonts w:ascii="Calibri" w:hAnsi="Calibri"/>
        </w:rPr>
        <w:t>node discovery and measurement</w:t>
      </w:r>
      <w:r w:rsidR="006A7727">
        <w:rPr>
          <w:rFonts w:ascii="Calibri" w:hAnsi="Calibri"/>
        </w:rPr>
        <w:t>. The following proposal</w:t>
      </w:r>
      <w:r w:rsidR="00E604D6">
        <w:rPr>
          <w:rFonts w:ascii="Calibri" w:hAnsi="Calibri"/>
        </w:rPr>
        <w:t xml:space="preserve"> w</w:t>
      </w:r>
      <w:r w:rsidR="00A6546A">
        <w:rPr>
          <w:rFonts w:ascii="Calibri" w:hAnsi="Calibri"/>
        </w:rPr>
        <w:t>as</w:t>
      </w:r>
      <w:bookmarkStart w:id="2" w:name="_GoBack"/>
      <w:bookmarkEnd w:id="2"/>
      <w:r w:rsidR="00E604D6">
        <w:rPr>
          <w:rFonts w:ascii="Calibri" w:hAnsi="Calibri"/>
        </w:rPr>
        <w:t xml:space="preserve"> made</w:t>
      </w:r>
      <w:r>
        <w:rPr>
          <w:rFonts w:ascii="Calibri" w:hAnsi="Calibri"/>
        </w:rPr>
        <w:t>:</w:t>
      </w:r>
    </w:p>
    <w:p w14:paraId="15C4B673" w14:textId="77777777" w:rsidR="006A7727" w:rsidRDefault="006A7727" w:rsidP="00172743">
      <w:pPr>
        <w:spacing w:before="0" w:after="0"/>
        <w:rPr>
          <w:rFonts w:ascii="Calibri" w:hAnsi="Calibri"/>
        </w:rPr>
      </w:pPr>
    </w:p>
    <w:p w14:paraId="1EE9618C" w14:textId="3A300295" w:rsidR="00E6484F" w:rsidRDefault="00E6484F" w:rsidP="00E6484F">
      <w:pPr>
        <w:pStyle w:val="maintext"/>
        <w:ind w:firstLineChars="0" w:firstLine="0"/>
        <w:rPr>
          <w:rFonts w:ascii="Calibri" w:hAnsi="Calibri"/>
          <w:b/>
        </w:rPr>
      </w:pPr>
      <w:r>
        <w:rPr>
          <w:rFonts w:ascii="Calibri" w:hAnsi="Calibri"/>
          <w:b/>
        </w:rPr>
        <w:t>Proposal</w:t>
      </w:r>
      <w:r w:rsidR="00A6546A">
        <w:rPr>
          <w:rFonts w:ascii="Calibri" w:hAnsi="Calibri"/>
          <w:b/>
        </w:rPr>
        <w:t xml:space="preserve"> 1</w:t>
      </w:r>
      <w:r>
        <w:rPr>
          <w:rFonts w:ascii="Calibri" w:hAnsi="Calibri"/>
          <w:b/>
        </w:rPr>
        <w:t>: In case of SMTCs with overlapping time domain measurement occasions but different periodicities, priority for IAB discovery and measurement at the MT should be given to SSBs corresponding to the SMTC with the longer periodicity.</w:t>
      </w:r>
    </w:p>
    <w:p w14:paraId="7A5001E3" w14:textId="77777777" w:rsidR="006703A8" w:rsidRDefault="006703A8" w:rsidP="00172743">
      <w:pPr>
        <w:spacing w:before="0" w:after="0"/>
        <w:rPr>
          <w:rFonts w:ascii="Calibri" w:hAnsi="Calibri"/>
        </w:rPr>
      </w:pPr>
    </w:p>
    <w:p w14:paraId="6A654CFC" w14:textId="77777777" w:rsidR="00FE6C15" w:rsidRPr="0076067D" w:rsidRDefault="00FE6C15" w:rsidP="0076067D">
      <w:pPr>
        <w:pStyle w:val="Heading1"/>
      </w:pPr>
      <w:r>
        <w:t>Reference</w:t>
      </w:r>
    </w:p>
    <w:p w14:paraId="4B475290" w14:textId="77777777" w:rsidR="00126A75" w:rsidRDefault="001C139C" w:rsidP="001C139C">
      <w:pPr>
        <w:pStyle w:val="2222"/>
        <w:spacing w:after="120" w:line="288" w:lineRule="auto"/>
        <w:ind w:firstLineChars="0" w:firstLine="0"/>
        <w:jc w:val="left"/>
        <w:rPr>
          <w:rFonts w:cs="Times New Roman"/>
          <w:lang w:eastAsia="ko-KR"/>
        </w:rPr>
      </w:pPr>
      <w:r>
        <w:rPr>
          <w:rFonts w:cs="Times New Roman"/>
          <w:lang w:eastAsia="ko-KR"/>
        </w:rPr>
        <w:t xml:space="preserve">[1] RP-182882, </w:t>
      </w:r>
      <w:r w:rsidRPr="004131D6">
        <w:rPr>
          <w:rFonts w:cs="Times New Roman"/>
          <w:lang w:eastAsia="ko-KR"/>
        </w:rPr>
        <w:t>New WID: Integrated Access and Backhaul for NR</w:t>
      </w:r>
      <w:r w:rsidR="00A54900">
        <w:rPr>
          <w:rFonts w:cs="Times New Roman"/>
          <w:lang w:eastAsia="ko-KR"/>
        </w:rPr>
        <w:t>,</w:t>
      </w:r>
      <w:r w:rsidR="00126A75">
        <w:rPr>
          <w:rFonts w:cs="Times New Roman"/>
          <w:lang w:eastAsia="ko-KR"/>
        </w:rPr>
        <w:t xml:space="preserve"> Qualcomm</w:t>
      </w:r>
    </w:p>
    <w:p w14:paraId="0A373130" w14:textId="77777777" w:rsidR="001C139C" w:rsidRPr="00A54900" w:rsidRDefault="001C139C" w:rsidP="001C139C">
      <w:pPr>
        <w:pStyle w:val="2222"/>
        <w:spacing w:after="120" w:line="288" w:lineRule="auto"/>
        <w:ind w:firstLineChars="0" w:firstLine="0"/>
        <w:jc w:val="left"/>
        <w:rPr>
          <w:rFonts w:cs="Times New Roman"/>
          <w:lang w:eastAsia="ko-KR"/>
        </w:rPr>
      </w:pPr>
    </w:p>
    <w:p w14:paraId="0266ADDF" w14:textId="77777777"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CAF1C" w14:textId="77777777" w:rsidR="009A5D4D" w:rsidRDefault="009A5D4D" w:rsidP="00424124">
      <w:pPr>
        <w:spacing w:before="0" w:after="0"/>
      </w:pPr>
      <w:r>
        <w:separator/>
      </w:r>
    </w:p>
  </w:endnote>
  <w:endnote w:type="continuationSeparator" w:id="0">
    <w:p w14:paraId="4717FC92" w14:textId="77777777" w:rsidR="009A5D4D" w:rsidRDefault="009A5D4D"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B253A" w14:textId="77777777" w:rsidR="009A5D4D" w:rsidRDefault="009A5D4D" w:rsidP="00424124">
      <w:pPr>
        <w:spacing w:before="0" w:after="0"/>
      </w:pPr>
      <w:r>
        <w:separator/>
      </w:r>
    </w:p>
  </w:footnote>
  <w:footnote w:type="continuationSeparator" w:id="0">
    <w:p w14:paraId="4B29BFC0" w14:textId="77777777" w:rsidR="009A5D4D" w:rsidRDefault="009A5D4D"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3419E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20"/>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6"/>
  </w:num>
  <w:num w:numId="8">
    <w:abstractNumId w:val="18"/>
  </w:num>
  <w:num w:numId="9">
    <w:abstractNumId w:val="2"/>
  </w:num>
  <w:num w:numId="10">
    <w:abstractNumId w:val="3"/>
  </w:num>
  <w:num w:numId="11">
    <w:abstractNumId w:val="21"/>
  </w:num>
  <w:num w:numId="12">
    <w:abstractNumId w:val="11"/>
  </w:num>
  <w:num w:numId="13">
    <w:abstractNumId w:val="12"/>
  </w:num>
  <w:num w:numId="14">
    <w:abstractNumId w:val="28"/>
  </w:num>
  <w:num w:numId="15">
    <w:abstractNumId w:val="1"/>
  </w:num>
  <w:num w:numId="16">
    <w:abstractNumId w:val="25"/>
  </w:num>
  <w:num w:numId="17">
    <w:abstractNumId w:val="19"/>
  </w:num>
  <w:num w:numId="18">
    <w:abstractNumId w:val="15"/>
  </w:num>
  <w:num w:numId="19">
    <w:abstractNumId w:val="27"/>
  </w:num>
  <w:num w:numId="20">
    <w:abstractNumId w:val="14"/>
  </w:num>
  <w:num w:numId="21">
    <w:abstractNumId w:val="13"/>
  </w:num>
  <w:num w:numId="22">
    <w:abstractNumId w:val="17"/>
  </w:num>
  <w:num w:numId="23">
    <w:abstractNumId w:val="9"/>
  </w:num>
  <w:num w:numId="24">
    <w:abstractNumId w:val="24"/>
  </w:num>
  <w:num w:numId="25">
    <w:abstractNumId w:val="26"/>
  </w:num>
  <w:num w:numId="26">
    <w:abstractNumId w:val="10"/>
  </w:num>
  <w:num w:numId="27">
    <w:abstractNumId w:val="7"/>
  </w:num>
  <w:num w:numId="28">
    <w:abstractNumId w:val="22"/>
  </w:num>
  <w:num w:numId="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1EE9"/>
    <w:rsid w:val="0001485D"/>
    <w:rsid w:val="000149EC"/>
    <w:rsid w:val="00020F1A"/>
    <w:rsid w:val="00032D47"/>
    <w:rsid w:val="000337FC"/>
    <w:rsid w:val="000440EF"/>
    <w:rsid w:val="000463E4"/>
    <w:rsid w:val="00051B4B"/>
    <w:rsid w:val="00051EBB"/>
    <w:rsid w:val="0005289E"/>
    <w:rsid w:val="000550BC"/>
    <w:rsid w:val="00057E9B"/>
    <w:rsid w:val="000643FA"/>
    <w:rsid w:val="00070728"/>
    <w:rsid w:val="000730C9"/>
    <w:rsid w:val="0007575F"/>
    <w:rsid w:val="00075B2C"/>
    <w:rsid w:val="00075FD1"/>
    <w:rsid w:val="00077712"/>
    <w:rsid w:val="00085800"/>
    <w:rsid w:val="000865E3"/>
    <w:rsid w:val="000917C5"/>
    <w:rsid w:val="00097DC6"/>
    <w:rsid w:val="000A36A9"/>
    <w:rsid w:val="000B0720"/>
    <w:rsid w:val="000B58AF"/>
    <w:rsid w:val="000B6D99"/>
    <w:rsid w:val="000C05C0"/>
    <w:rsid w:val="000C21D0"/>
    <w:rsid w:val="000C57B9"/>
    <w:rsid w:val="000D2CA0"/>
    <w:rsid w:val="000D38DC"/>
    <w:rsid w:val="000E29D8"/>
    <w:rsid w:val="000F259D"/>
    <w:rsid w:val="0010303E"/>
    <w:rsid w:val="0011327D"/>
    <w:rsid w:val="00116DA6"/>
    <w:rsid w:val="00126A75"/>
    <w:rsid w:val="001279BC"/>
    <w:rsid w:val="00137E15"/>
    <w:rsid w:val="001417A8"/>
    <w:rsid w:val="00153793"/>
    <w:rsid w:val="00172743"/>
    <w:rsid w:val="00175301"/>
    <w:rsid w:val="00196176"/>
    <w:rsid w:val="001A5A68"/>
    <w:rsid w:val="001A6212"/>
    <w:rsid w:val="001A75E0"/>
    <w:rsid w:val="001B731B"/>
    <w:rsid w:val="001C139C"/>
    <w:rsid w:val="001C4ACE"/>
    <w:rsid w:val="001C699C"/>
    <w:rsid w:val="001E02F3"/>
    <w:rsid w:val="001E0CE1"/>
    <w:rsid w:val="001E58CC"/>
    <w:rsid w:val="001E7CB5"/>
    <w:rsid w:val="001F02DD"/>
    <w:rsid w:val="001F2A01"/>
    <w:rsid w:val="001F59ED"/>
    <w:rsid w:val="002013B3"/>
    <w:rsid w:val="00201870"/>
    <w:rsid w:val="00211D37"/>
    <w:rsid w:val="00212204"/>
    <w:rsid w:val="0021262A"/>
    <w:rsid w:val="00216763"/>
    <w:rsid w:val="00221B52"/>
    <w:rsid w:val="00222269"/>
    <w:rsid w:val="00222811"/>
    <w:rsid w:val="00225464"/>
    <w:rsid w:val="00233D70"/>
    <w:rsid w:val="00235373"/>
    <w:rsid w:val="00242080"/>
    <w:rsid w:val="00246D61"/>
    <w:rsid w:val="0024786A"/>
    <w:rsid w:val="0025058B"/>
    <w:rsid w:val="0025387F"/>
    <w:rsid w:val="00262116"/>
    <w:rsid w:val="002641FE"/>
    <w:rsid w:val="00265254"/>
    <w:rsid w:val="00267362"/>
    <w:rsid w:val="002725E8"/>
    <w:rsid w:val="00272EC2"/>
    <w:rsid w:val="00273B2A"/>
    <w:rsid w:val="00274677"/>
    <w:rsid w:val="00276785"/>
    <w:rsid w:val="00277973"/>
    <w:rsid w:val="00287D4D"/>
    <w:rsid w:val="0029112F"/>
    <w:rsid w:val="0029147A"/>
    <w:rsid w:val="00297225"/>
    <w:rsid w:val="002A005E"/>
    <w:rsid w:val="002A0270"/>
    <w:rsid w:val="002A4DB1"/>
    <w:rsid w:val="002A66E2"/>
    <w:rsid w:val="002B6E52"/>
    <w:rsid w:val="002C0488"/>
    <w:rsid w:val="002C4097"/>
    <w:rsid w:val="002C594E"/>
    <w:rsid w:val="002D3D42"/>
    <w:rsid w:val="002D479B"/>
    <w:rsid w:val="002D6EC9"/>
    <w:rsid w:val="002D787B"/>
    <w:rsid w:val="002E188B"/>
    <w:rsid w:val="002E65B5"/>
    <w:rsid w:val="002F2F26"/>
    <w:rsid w:val="002F4C25"/>
    <w:rsid w:val="0030495C"/>
    <w:rsid w:val="003141F5"/>
    <w:rsid w:val="00315DC4"/>
    <w:rsid w:val="00317020"/>
    <w:rsid w:val="00320B4D"/>
    <w:rsid w:val="00326FF6"/>
    <w:rsid w:val="00327A22"/>
    <w:rsid w:val="00332BB8"/>
    <w:rsid w:val="00334624"/>
    <w:rsid w:val="0033513A"/>
    <w:rsid w:val="00342130"/>
    <w:rsid w:val="00346605"/>
    <w:rsid w:val="00347824"/>
    <w:rsid w:val="0035318F"/>
    <w:rsid w:val="00354C01"/>
    <w:rsid w:val="0036306A"/>
    <w:rsid w:val="0036330B"/>
    <w:rsid w:val="003727DB"/>
    <w:rsid w:val="00385177"/>
    <w:rsid w:val="00386642"/>
    <w:rsid w:val="00392176"/>
    <w:rsid w:val="003921D6"/>
    <w:rsid w:val="003A0594"/>
    <w:rsid w:val="003A298A"/>
    <w:rsid w:val="003A553B"/>
    <w:rsid w:val="003A566A"/>
    <w:rsid w:val="003B1EC9"/>
    <w:rsid w:val="003B5456"/>
    <w:rsid w:val="003C2392"/>
    <w:rsid w:val="003C2E75"/>
    <w:rsid w:val="003E1304"/>
    <w:rsid w:val="003E35D4"/>
    <w:rsid w:val="003E7121"/>
    <w:rsid w:val="003F0731"/>
    <w:rsid w:val="003F1857"/>
    <w:rsid w:val="003F33B4"/>
    <w:rsid w:val="003F3E3C"/>
    <w:rsid w:val="004011AC"/>
    <w:rsid w:val="00405F6D"/>
    <w:rsid w:val="004231A1"/>
    <w:rsid w:val="00424124"/>
    <w:rsid w:val="00434212"/>
    <w:rsid w:val="00440F6E"/>
    <w:rsid w:val="00443645"/>
    <w:rsid w:val="00443CD6"/>
    <w:rsid w:val="004552C9"/>
    <w:rsid w:val="004607AC"/>
    <w:rsid w:val="0046127E"/>
    <w:rsid w:val="00466E46"/>
    <w:rsid w:val="004678E1"/>
    <w:rsid w:val="004709B7"/>
    <w:rsid w:val="00473281"/>
    <w:rsid w:val="00473B68"/>
    <w:rsid w:val="0048301B"/>
    <w:rsid w:val="0048562D"/>
    <w:rsid w:val="004A5ABE"/>
    <w:rsid w:val="004A6424"/>
    <w:rsid w:val="004A69D0"/>
    <w:rsid w:val="004A6A82"/>
    <w:rsid w:val="004B6AA8"/>
    <w:rsid w:val="004B6E00"/>
    <w:rsid w:val="004C130E"/>
    <w:rsid w:val="004C186B"/>
    <w:rsid w:val="004C38DD"/>
    <w:rsid w:val="004C3F2E"/>
    <w:rsid w:val="004C4856"/>
    <w:rsid w:val="004C6DC3"/>
    <w:rsid w:val="004C6ED8"/>
    <w:rsid w:val="004C7784"/>
    <w:rsid w:val="004D453B"/>
    <w:rsid w:val="004D780D"/>
    <w:rsid w:val="004D7CF8"/>
    <w:rsid w:val="004E6BC0"/>
    <w:rsid w:val="004E6CD0"/>
    <w:rsid w:val="004E6D3B"/>
    <w:rsid w:val="004F31E9"/>
    <w:rsid w:val="005007E9"/>
    <w:rsid w:val="00504C05"/>
    <w:rsid w:val="00504E5F"/>
    <w:rsid w:val="005055A6"/>
    <w:rsid w:val="00507060"/>
    <w:rsid w:val="0051179B"/>
    <w:rsid w:val="00512838"/>
    <w:rsid w:val="0051424F"/>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A18B4"/>
    <w:rsid w:val="005A60B4"/>
    <w:rsid w:val="005B3D85"/>
    <w:rsid w:val="005B47BD"/>
    <w:rsid w:val="005B69C2"/>
    <w:rsid w:val="005B6FA6"/>
    <w:rsid w:val="005D2C51"/>
    <w:rsid w:val="005F21BF"/>
    <w:rsid w:val="005F613D"/>
    <w:rsid w:val="00600F57"/>
    <w:rsid w:val="00603015"/>
    <w:rsid w:val="0060603E"/>
    <w:rsid w:val="00632789"/>
    <w:rsid w:val="00633934"/>
    <w:rsid w:val="00634707"/>
    <w:rsid w:val="00636F9E"/>
    <w:rsid w:val="006439F2"/>
    <w:rsid w:val="00644034"/>
    <w:rsid w:val="006477B7"/>
    <w:rsid w:val="00652AC8"/>
    <w:rsid w:val="0065437E"/>
    <w:rsid w:val="0066157D"/>
    <w:rsid w:val="006703A8"/>
    <w:rsid w:val="0067125A"/>
    <w:rsid w:val="00671E30"/>
    <w:rsid w:val="006756FB"/>
    <w:rsid w:val="00677BD0"/>
    <w:rsid w:val="00685B82"/>
    <w:rsid w:val="00685E11"/>
    <w:rsid w:val="00694807"/>
    <w:rsid w:val="0069705B"/>
    <w:rsid w:val="006A0EDC"/>
    <w:rsid w:val="006A18DB"/>
    <w:rsid w:val="006A2D2E"/>
    <w:rsid w:val="006A7727"/>
    <w:rsid w:val="006B0FE9"/>
    <w:rsid w:val="006C0BAC"/>
    <w:rsid w:val="006C452E"/>
    <w:rsid w:val="006C7692"/>
    <w:rsid w:val="006D6ABC"/>
    <w:rsid w:val="006E790B"/>
    <w:rsid w:val="006F055C"/>
    <w:rsid w:val="006F52D9"/>
    <w:rsid w:val="00702C40"/>
    <w:rsid w:val="00707D20"/>
    <w:rsid w:val="00707ECE"/>
    <w:rsid w:val="00710F58"/>
    <w:rsid w:val="00713175"/>
    <w:rsid w:val="00713382"/>
    <w:rsid w:val="00714B77"/>
    <w:rsid w:val="00714CA5"/>
    <w:rsid w:val="00721AD7"/>
    <w:rsid w:val="007225EF"/>
    <w:rsid w:val="00722BA6"/>
    <w:rsid w:val="00723DC5"/>
    <w:rsid w:val="00726B84"/>
    <w:rsid w:val="00727952"/>
    <w:rsid w:val="007316AF"/>
    <w:rsid w:val="007338D6"/>
    <w:rsid w:val="00740B36"/>
    <w:rsid w:val="00747A6F"/>
    <w:rsid w:val="0075622F"/>
    <w:rsid w:val="0076067D"/>
    <w:rsid w:val="00782CDC"/>
    <w:rsid w:val="007839F9"/>
    <w:rsid w:val="00784132"/>
    <w:rsid w:val="00786229"/>
    <w:rsid w:val="0078708D"/>
    <w:rsid w:val="00787145"/>
    <w:rsid w:val="00791D57"/>
    <w:rsid w:val="007A2765"/>
    <w:rsid w:val="007B13E5"/>
    <w:rsid w:val="007B2F6B"/>
    <w:rsid w:val="007B473A"/>
    <w:rsid w:val="007C0CF6"/>
    <w:rsid w:val="007C4B85"/>
    <w:rsid w:val="007D0BB2"/>
    <w:rsid w:val="007D2C48"/>
    <w:rsid w:val="007E546F"/>
    <w:rsid w:val="007F0AF3"/>
    <w:rsid w:val="007F1928"/>
    <w:rsid w:val="007F2957"/>
    <w:rsid w:val="007F392E"/>
    <w:rsid w:val="00811A1B"/>
    <w:rsid w:val="00814815"/>
    <w:rsid w:val="00824DED"/>
    <w:rsid w:val="00826E5A"/>
    <w:rsid w:val="0083713D"/>
    <w:rsid w:val="008437B2"/>
    <w:rsid w:val="00843F1C"/>
    <w:rsid w:val="00850DCE"/>
    <w:rsid w:val="00853591"/>
    <w:rsid w:val="00854FBB"/>
    <w:rsid w:val="0086373E"/>
    <w:rsid w:val="008661BA"/>
    <w:rsid w:val="008671A6"/>
    <w:rsid w:val="00867C44"/>
    <w:rsid w:val="00871024"/>
    <w:rsid w:val="0087144B"/>
    <w:rsid w:val="00871CA8"/>
    <w:rsid w:val="00872D80"/>
    <w:rsid w:val="00872E80"/>
    <w:rsid w:val="008747AA"/>
    <w:rsid w:val="00885004"/>
    <w:rsid w:val="00886940"/>
    <w:rsid w:val="00886B7B"/>
    <w:rsid w:val="00887AB4"/>
    <w:rsid w:val="00894290"/>
    <w:rsid w:val="008A25A1"/>
    <w:rsid w:val="008B39B6"/>
    <w:rsid w:val="008B5040"/>
    <w:rsid w:val="008B5A99"/>
    <w:rsid w:val="008C1AFD"/>
    <w:rsid w:val="008C4B67"/>
    <w:rsid w:val="008D1AEF"/>
    <w:rsid w:val="008E48C2"/>
    <w:rsid w:val="008F2160"/>
    <w:rsid w:val="00901B67"/>
    <w:rsid w:val="00905E86"/>
    <w:rsid w:val="009124E4"/>
    <w:rsid w:val="00917D0F"/>
    <w:rsid w:val="00924EA9"/>
    <w:rsid w:val="00925FA2"/>
    <w:rsid w:val="00926A9C"/>
    <w:rsid w:val="00927803"/>
    <w:rsid w:val="00935A12"/>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7E4E"/>
    <w:rsid w:val="009A4D63"/>
    <w:rsid w:val="009A54FC"/>
    <w:rsid w:val="009A5D4D"/>
    <w:rsid w:val="009B08C5"/>
    <w:rsid w:val="009B52C0"/>
    <w:rsid w:val="009B75E8"/>
    <w:rsid w:val="009C2167"/>
    <w:rsid w:val="009D46C1"/>
    <w:rsid w:val="009E0D02"/>
    <w:rsid w:val="009E4418"/>
    <w:rsid w:val="009E5838"/>
    <w:rsid w:val="00A0235E"/>
    <w:rsid w:val="00A04526"/>
    <w:rsid w:val="00A11704"/>
    <w:rsid w:val="00A11840"/>
    <w:rsid w:val="00A21D13"/>
    <w:rsid w:val="00A22671"/>
    <w:rsid w:val="00A22C61"/>
    <w:rsid w:val="00A262E4"/>
    <w:rsid w:val="00A26EC3"/>
    <w:rsid w:val="00A300E0"/>
    <w:rsid w:val="00A3377C"/>
    <w:rsid w:val="00A359C7"/>
    <w:rsid w:val="00A41CF3"/>
    <w:rsid w:val="00A456B1"/>
    <w:rsid w:val="00A4674D"/>
    <w:rsid w:val="00A547CE"/>
    <w:rsid w:val="00A54900"/>
    <w:rsid w:val="00A55FF3"/>
    <w:rsid w:val="00A603CE"/>
    <w:rsid w:val="00A64CF7"/>
    <w:rsid w:val="00A6546A"/>
    <w:rsid w:val="00A72B33"/>
    <w:rsid w:val="00A821EA"/>
    <w:rsid w:val="00A8721E"/>
    <w:rsid w:val="00A92495"/>
    <w:rsid w:val="00AA5160"/>
    <w:rsid w:val="00AA5899"/>
    <w:rsid w:val="00AB0452"/>
    <w:rsid w:val="00AB0589"/>
    <w:rsid w:val="00AB75A3"/>
    <w:rsid w:val="00AB7FC6"/>
    <w:rsid w:val="00AC05AE"/>
    <w:rsid w:val="00AD115D"/>
    <w:rsid w:val="00AD16AE"/>
    <w:rsid w:val="00AD6C53"/>
    <w:rsid w:val="00AE72F4"/>
    <w:rsid w:val="00AF0A4B"/>
    <w:rsid w:val="00AF4BBC"/>
    <w:rsid w:val="00AF65DE"/>
    <w:rsid w:val="00B04278"/>
    <w:rsid w:val="00B12672"/>
    <w:rsid w:val="00B2434D"/>
    <w:rsid w:val="00B24D29"/>
    <w:rsid w:val="00B32216"/>
    <w:rsid w:val="00B34716"/>
    <w:rsid w:val="00B36884"/>
    <w:rsid w:val="00B3707E"/>
    <w:rsid w:val="00B55FA2"/>
    <w:rsid w:val="00B61A13"/>
    <w:rsid w:val="00B6232D"/>
    <w:rsid w:val="00B648CA"/>
    <w:rsid w:val="00B74894"/>
    <w:rsid w:val="00B749FB"/>
    <w:rsid w:val="00B75FF7"/>
    <w:rsid w:val="00B82B83"/>
    <w:rsid w:val="00B909F7"/>
    <w:rsid w:val="00B96A24"/>
    <w:rsid w:val="00BA305A"/>
    <w:rsid w:val="00BA677D"/>
    <w:rsid w:val="00BA6FDB"/>
    <w:rsid w:val="00BB02ED"/>
    <w:rsid w:val="00BB3CBF"/>
    <w:rsid w:val="00BB4E1F"/>
    <w:rsid w:val="00BB5132"/>
    <w:rsid w:val="00BC31F9"/>
    <w:rsid w:val="00BC6F83"/>
    <w:rsid w:val="00BC704C"/>
    <w:rsid w:val="00BD15E1"/>
    <w:rsid w:val="00BD34B4"/>
    <w:rsid w:val="00BE26B4"/>
    <w:rsid w:val="00BF2C5D"/>
    <w:rsid w:val="00BF31E3"/>
    <w:rsid w:val="00BF5F1C"/>
    <w:rsid w:val="00C07731"/>
    <w:rsid w:val="00C16B9F"/>
    <w:rsid w:val="00C17E83"/>
    <w:rsid w:val="00C218A9"/>
    <w:rsid w:val="00C261F4"/>
    <w:rsid w:val="00C40BE6"/>
    <w:rsid w:val="00C47EE0"/>
    <w:rsid w:val="00C534CA"/>
    <w:rsid w:val="00C63006"/>
    <w:rsid w:val="00C67568"/>
    <w:rsid w:val="00C7007B"/>
    <w:rsid w:val="00C71871"/>
    <w:rsid w:val="00C724F1"/>
    <w:rsid w:val="00C735F1"/>
    <w:rsid w:val="00C73B8D"/>
    <w:rsid w:val="00C913B6"/>
    <w:rsid w:val="00C91C5E"/>
    <w:rsid w:val="00C92E44"/>
    <w:rsid w:val="00CA6EA3"/>
    <w:rsid w:val="00CB15A7"/>
    <w:rsid w:val="00CB6D97"/>
    <w:rsid w:val="00CC09CE"/>
    <w:rsid w:val="00CD7B54"/>
    <w:rsid w:val="00CE0C9D"/>
    <w:rsid w:val="00CE1FF5"/>
    <w:rsid w:val="00D10682"/>
    <w:rsid w:val="00D129D3"/>
    <w:rsid w:val="00D134C5"/>
    <w:rsid w:val="00D23CDC"/>
    <w:rsid w:val="00D26593"/>
    <w:rsid w:val="00D268EB"/>
    <w:rsid w:val="00D26CFF"/>
    <w:rsid w:val="00D274C6"/>
    <w:rsid w:val="00D31306"/>
    <w:rsid w:val="00D446F1"/>
    <w:rsid w:val="00D456D8"/>
    <w:rsid w:val="00D45A0E"/>
    <w:rsid w:val="00D4645D"/>
    <w:rsid w:val="00D4758C"/>
    <w:rsid w:val="00D50169"/>
    <w:rsid w:val="00D5391C"/>
    <w:rsid w:val="00D55FAB"/>
    <w:rsid w:val="00D56786"/>
    <w:rsid w:val="00D61EAB"/>
    <w:rsid w:val="00D701D3"/>
    <w:rsid w:val="00D724F9"/>
    <w:rsid w:val="00D7445F"/>
    <w:rsid w:val="00D86DBE"/>
    <w:rsid w:val="00D91E8D"/>
    <w:rsid w:val="00D92B1D"/>
    <w:rsid w:val="00D95E32"/>
    <w:rsid w:val="00DB0323"/>
    <w:rsid w:val="00DB1FA7"/>
    <w:rsid w:val="00DB31EE"/>
    <w:rsid w:val="00DB3BFC"/>
    <w:rsid w:val="00DC0E31"/>
    <w:rsid w:val="00DC70D0"/>
    <w:rsid w:val="00DC7DD6"/>
    <w:rsid w:val="00DD3971"/>
    <w:rsid w:val="00DE2A3F"/>
    <w:rsid w:val="00DF5F45"/>
    <w:rsid w:val="00DF7EDD"/>
    <w:rsid w:val="00E03E65"/>
    <w:rsid w:val="00E13146"/>
    <w:rsid w:val="00E174FC"/>
    <w:rsid w:val="00E20070"/>
    <w:rsid w:val="00E20994"/>
    <w:rsid w:val="00E21DB6"/>
    <w:rsid w:val="00E22124"/>
    <w:rsid w:val="00E261AD"/>
    <w:rsid w:val="00E324C0"/>
    <w:rsid w:val="00E40344"/>
    <w:rsid w:val="00E46D61"/>
    <w:rsid w:val="00E55C12"/>
    <w:rsid w:val="00E56C7E"/>
    <w:rsid w:val="00E576BD"/>
    <w:rsid w:val="00E57BE9"/>
    <w:rsid w:val="00E604D6"/>
    <w:rsid w:val="00E60C09"/>
    <w:rsid w:val="00E6484F"/>
    <w:rsid w:val="00E67086"/>
    <w:rsid w:val="00E857E4"/>
    <w:rsid w:val="00E85B05"/>
    <w:rsid w:val="00E9139D"/>
    <w:rsid w:val="00E92487"/>
    <w:rsid w:val="00E95082"/>
    <w:rsid w:val="00EA26E5"/>
    <w:rsid w:val="00EA3B02"/>
    <w:rsid w:val="00EA5A59"/>
    <w:rsid w:val="00EA6213"/>
    <w:rsid w:val="00EB0C39"/>
    <w:rsid w:val="00EB3301"/>
    <w:rsid w:val="00EE2068"/>
    <w:rsid w:val="00EE4A18"/>
    <w:rsid w:val="00EF1F69"/>
    <w:rsid w:val="00EF238F"/>
    <w:rsid w:val="00EF61D1"/>
    <w:rsid w:val="00F05333"/>
    <w:rsid w:val="00F1311C"/>
    <w:rsid w:val="00F154D0"/>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7E12"/>
    <w:rsid w:val="00F814DE"/>
    <w:rsid w:val="00F86EE6"/>
    <w:rsid w:val="00F90045"/>
    <w:rsid w:val="00F925FE"/>
    <w:rsid w:val="00F959A1"/>
    <w:rsid w:val="00F973CD"/>
    <w:rsid w:val="00FA0472"/>
    <w:rsid w:val="00FA28D1"/>
    <w:rsid w:val="00FA6558"/>
    <w:rsid w:val="00FB2665"/>
    <w:rsid w:val="00FC3DE0"/>
    <w:rsid w:val="00FC5525"/>
    <w:rsid w:val="00FC61FD"/>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E68210"/>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List Paragraph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179589029">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62B9B-EC2D-014D-9E11-8131EDB50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476</Words>
  <Characters>2718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3188</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3</cp:revision>
  <cp:lastPrinted>2018-09-28T20:14:00Z</cp:lastPrinted>
  <dcterms:created xsi:type="dcterms:W3CDTF">2019-08-16T04:00:00Z</dcterms:created>
  <dcterms:modified xsi:type="dcterms:W3CDTF">2019-08-16T04:09:00Z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